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07C2" w14:textId="77777777" w:rsidR="00502FF3" w:rsidRPr="002A335D" w:rsidRDefault="00502FF3" w:rsidP="005D0129">
      <w:pPr>
        <w:pStyle w:val="a7"/>
        <w:tabs>
          <w:tab w:val="left" w:pos="1135"/>
        </w:tabs>
        <w:snapToGrid w:val="0"/>
        <w:spacing w:line="360" w:lineRule="auto"/>
        <w:ind w:left="1777" w:hangingChars="405" w:hanging="1297"/>
        <w:jc w:val="center"/>
        <w:rPr>
          <w:rFonts w:ascii="Arial" w:eastAsia="標楷體" w:hAnsi="Arial" w:cs="Arial"/>
          <w:b/>
          <w:sz w:val="32"/>
          <w:szCs w:val="24"/>
        </w:rPr>
      </w:pPr>
      <w:r w:rsidRPr="002A335D">
        <w:rPr>
          <w:rFonts w:ascii="Arial" w:eastAsia="標楷體" w:hAnsi="Arial" w:cs="Arial"/>
          <w:b/>
          <w:bCs/>
          <w:color w:val="000000"/>
          <w:kern w:val="0"/>
          <w:sz w:val="32"/>
          <w:szCs w:val="24"/>
        </w:rPr>
        <w:t>臺北醫</w:t>
      </w:r>
      <w:bookmarkStart w:id="0" w:name="_GoBack"/>
      <w:bookmarkEnd w:id="0"/>
      <w:r w:rsidRPr="002A335D">
        <w:rPr>
          <w:rFonts w:ascii="Arial" w:eastAsia="標楷體" w:hAnsi="Arial" w:cs="Arial"/>
          <w:b/>
          <w:bCs/>
          <w:color w:val="000000"/>
          <w:kern w:val="0"/>
          <w:sz w:val="32"/>
          <w:szCs w:val="24"/>
        </w:rPr>
        <w:t>學大學營養學院</w:t>
      </w:r>
      <w:r w:rsidRPr="002A335D">
        <w:rPr>
          <w:rFonts w:ascii="Arial" w:eastAsia="標楷體" w:hAnsi="Arial" w:cs="Arial"/>
          <w:b/>
          <w:sz w:val="32"/>
          <w:szCs w:val="24"/>
        </w:rPr>
        <w:t>會議室使用規則</w:t>
      </w:r>
    </w:p>
    <w:p w14:paraId="4EB28C85" w14:textId="77777777" w:rsidR="00502FF3" w:rsidRPr="002A335D" w:rsidRDefault="00502FF3" w:rsidP="005D0129">
      <w:pPr>
        <w:pStyle w:val="a7"/>
        <w:tabs>
          <w:tab w:val="left" w:pos="1135"/>
        </w:tabs>
        <w:snapToGrid w:val="0"/>
        <w:spacing w:line="360" w:lineRule="auto"/>
        <w:ind w:left="1777" w:hangingChars="405" w:hanging="1297"/>
        <w:jc w:val="center"/>
        <w:rPr>
          <w:rFonts w:ascii="Arial" w:eastAsia="標楷體" w:hAnsi="Arial" w:cs="Arial"/>
          <w:b/>
          <w:bCs/>
          <w:color w:val="000000"/>
          <w:sz w:val="32"/>
          <w:szCs w:val="24"/>
        </w:rPr>
      </w:pPr>
      <w:smartTag w:uri="urn:schemas-microsoft-com:office:smarttags" w:element="place">
        <w:smartTag w:uri="urn:schemas-microsoft-com:office:smarttags" w:element="PlaceName">
          <w:r w:rsidRPr="002A335D">
            <w:rPr>
              <w:rFonts w:ascii="Arial" w:eastAsia="標楷體" w:hAnsi="Arial" w:cs="Arial"/>
              <w:b/>
              <w:bCs/>
              <w:color w:val="000000"/>
              <w:sz w:val="32"/>
              <w:szCs w:val="24"/>
            </w:rPr>
            <w:t>Taipei</w:t>
          </w:r>
        </w:smartTag>
        <w:r w:rsidRPr="002A335D">
          <w:rPr>
            <w:rFonts w:ascii="Arial" w:eastAsia="標楷體" w:hAnsi="Arial" w:cs="Arial"/>
            <w:b/>
            <w:bCs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Pr="002A335D">
            <w:rPr>
              <w:rFonts w:ascii="Arial" w:eastAsia="標楷體" w:hAnsi="Arial" w:cs="Arial"/>
              <w:b/>
              <w:bCs/>
              <w:color w:val="000000"/>
              <w:sz w:val="32"/>
              <w:szCs w:val="24"/>
            </w:rPr>
            <w:t>Medical</w:t>
          </w:r>
        </w:smartTag>
        <w:r w:rsidRPr="002A335D">
          <w:rPr>
            <w:rFonts w:ascii="Arial" w:eastAsia="標楷體" w:hAnsi="Arial" w:cs="Arial"/>
            <w:b/>
            <w:bCs/>
            <w:color w:val="000000"/>
            <w:sz w:val="32"/>
            <w:szCs w:val="24"/>
          </w:rPr>
          <w:t xml:space="preserve"> </w:t>
        </w:r>
        <w:smartTag w:uri="urn:schemas-microsoft-com:office:smarttags" w:element="PlaceType">
          <w:r w:rsidRPr="002A335D">
            <w:rPr>
              <w:rFonts w:ascii="Arial" w:eastAsia="標楷體" w:hAnsi="Arial" w:cs="Arial"/>
              <w:b/>
              <w:bCs/>
              <w:color w:val="000000"/>
              <w:sz w:val="32"/>
              <w:szCs w:val="24"/>
            </w:rPr>
            <w:t>University</w:t>
          </w:r>
        </w:smartTag>
        <w:r w:rsidRPr="002A335D">
          <w:rPr>
            <w:rFonts w:ascii="Arial" w:eastAsia="標楷體" w:hAnsi="Arial" w:cs="Arial"/>
            <w:b/>
            <w:bCs/>
            <w:color w:val="000000"/>
            <w:sz w:val="32"/>
            <w:szCs w:val="24"/>
          </w:rPr>
          <w:t xml:space="preserve"> </w:t>
        </w:r>
        <w:smartTag w:uri="urn:schemas-microsoft-com:office:smarttags" w:element="PlaceType">
          <w:r w:rsidRPr="002A335D">
            <w:rPr>
              <w:rFonts w:ascii="Arial" w:eastAsia="標楷體" w:hAnsi="Arial" w:cs="Arial"/>
              <w:b/>
              <w:bCs/>
              <w:color w:val="000000"/>
              <w:sz w:val="32"/>
              <w:szCs w:val="24"/>
            </w:rPr>
            <w:t>College</w:t>
          </w:r>
        </w:smartTag>
      </w:smartTag>
      <w:r w:rsidRPr="002A335D">
        <w:rPr>
          <w:rFonts w:ascii="Arial" w:eastAsia="標楷體" w:hAnsi="Arial" w:cs="Arial"/>
          <w:b/>
          <w:bCs/>
          <w:color w:val="000000"/>
          <w:sz w:val="32"/>
          <w:szCs w:val="24"/>
        </w:rPr>
        <w:t xml:space="preserve"> of Nutrition Conference Room Use Regulations</w:t>
      </w:r>
    </w:p>
    <w:p w14:paraId="15E8F061" w14:textId="538170FB" w:rsidR="00D543AA" w:rsidRPr="00421B92" w:rsidRDefault="00D543AA" w:rsidP="005A11B0">
      <w:pPr>
        <w:snapToGrid w:val="0"/>
        <w:ind w:right="-1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65CDF323" w14:textId="77777777" w:rsidR="00D543AA" w:rsidRPr="00421B92" w:rsidRDefault="00D543AA" w:rsidP="005A11B0">
      <w:pPr>
        <w:snapToGrid w:val="0"/>
        <w:ind w:right="-1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64511787" w14:textId="33ABEDC8" w:rsidR="00502FF3" w:rsidRPr="00421B92" w:rsidRDefault="00502FF3" w:rsidP="005A11B0">
      <w:pPr>
        <w:snapToGrid w:val="0"/>
        <w:ind w:right="-1"/>
        <w:jc w:val="right"/>
        <w:rPr>
          <w:rFonts w:ascii="Arial" w:eastAsia="標楷體" w:hAnsi="Arial" w:cs="Arial"/>
          <w:color w:val="000000"/>
          <w:sz w:val="20"/>
          <w:szCs w:val="20"/>
        </w:rPr>
      </w:pPr>
      <w:r w:rsidRPr="00421B92">
        <w:rPr>
          <w:rFonts w:ascii="Arial" w:eastAsia="標楷體" w:hAnsi="Arial" w:cs="Arial"/>
          <w:color w:val="000000"/>
          <w:sz w:val="20"/>
          <w:szCs w:val="20"/>
        </w:rPr>
        <w:t>107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年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03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月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21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日院主管會議新定通過</w:t>
      </w:r>
    </w:p>
    <w:p w14:paraId="16008191" w14:textId="5F22406B" w:rsidR="00502FF3" w:rsidRPr="00421B92" w:rsidRDefault="00502FF3" w:rsidP="005A11B0">
      <w:pPr>
        <w:pStyle w:val="a7"/>
        <w:tabs>
          <w:tab w:val="left" w:pos="1135"/>
        </w:tabs>
        <w:snapToGrid w:val="0"/>
        <w:ind w:left="1290" w:hangingChars="405" w:hanging="810"/>
        <w:jc w:val="right"/>
        <w:rPr>
          <w:rFonts w:ascii="Arial" w:eastAsia="標楷體" w:hAnsi="Arial" w:cs="Arial"/>
          <w:color w:val="000000"/>
          <w:sz w:val="20"/>
          <w:szCs w:val="20"/>
        </w:rPr>
      </w:pPr>
      <w:r w:rsidRPr="00421B92">
        <w:rPr>
          <w:rFonts w:ascii="Arial" w:eastAsia="標楷體" w:hAnsi="Arial" w:cs="Arial"/>
          <w:color w:val="000000"/>
          <w:sz w:val="20"/>
          <w:szCs w:val="20"/>
        </w:rPr>
        <w:t xml:space="preserve"> Formul</w:t>
      </w:r>
      <w:r w:rsidR="00B44785" w:rsidRPr="00421B92">
        <w:rPr>
          <w:rFonts w:ascii="Arial" w:eastAsia="標楷體" w:hAnsi="Arial" w:cs="Arial"/>
          <w:color w:val="000000"/>
          <w:sz w:val="20"/>
          <w:szCs w:val="20"/>
        </w:rPr>
        <w:t>ated and approved on March 21, 2</w:t>
      </w:r>
      <w:r w:rsidRPr="00421B92">
        <w:rPr>
          <w:rFonts w:ascii="Arial" w:eastAsia="標楷體" w:hAnsi="Arial" w:cs="Arial"/>
          <w:color w:val="000000"/>
          <w:sz w:val="20"/>
          <w:szCs w:val="20"/>
        </w:rPr>
        <w:t>018 by the College Executive Meeting</w:t>
      </w:r>
    </w:p>
    <w:p w14:paraId="0385C768" w14:textId="6755F0BB" w:rsidR="00D543AA" w:rsidRPr="00421B92" w:rsidRDefault="00D543AA" w:rsidP="005A11B0">
      <w:pPr>
        <w:snapToGrid w:val="0"/>
        <w:ind w:left="800" w:hangingChars="400" w:hanging="800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67011E9B" w14:textId="77777777" w:rsidR="00D543AA" w:rsidRPr="00421B92" w:rsidRDefault="00D543AA" w:rsidP="005A11B0">
      <w:pPr>
        <w:snapToGrid w:val="0"/>
        <w:ind w:left="800" w:hangingChars="400" w:hanging="800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7537EADD" w14:textId="228363DA" w:rsidR="00502FF3" w:rsidRPr="002A335D" w:rsidRDefault="00502FF3" w:rsidP="002A335D">
      <w:pPr>
        <w:pStyle w:val="a7"/>
        <w:tabs>
          <w:tab w:val="left" w:pos="1134"/>
        </w:tabs>
        <w:snapToGrid w:val="0"/>
        <w:spacing w:line="300" w:lineRule="auto"/>
        <w:ind w:leftChars="0" w:left="1322" w:hangingChars="472" w:hanging="1322"/>
        <w:jc w:val="both"/>
        <w:rPr>
          <w:rFonts w:ascii="Arial" w:eastAsia="標楷體" w:hAnsi="Arial" w:cs="Arial"/>
          <w:color w:val="000000"/>
          <w:kern w:val="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第一條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為有效管理營養學院（以下簡稱本院）之會議室，特訂定「臺北醫學大學營養學院</w:t>
      </w:r>
      <w:r w:rsidRPr="002A335D">
        <w:rPr>
          <w:rFonts w:ascii="Arial" w:eastAsia="標楷體" w:hAnsi="Arial" w:cs="Arial"/>
          <w:sz w:val="28"/>
          <w:szCs w:val="24"/>
        </w:rPr>
        <w:t>會議室使用規則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」（以下簡稱本規則）。</w:t>
      </w:r>
    </w:p>
    <w:p w14:paraId="7D3A1F49" w14:textId="55211158" w:rsidR="00502FF3" w:rsidRPr="002A335D" w:rsidRDefault="00502FF3" w:rsidP="007E2C6B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rPr>
          <w:rFonts w:ascii="Arial" w:eastAsia="標楷體" w:hAnsi="Arial" w:cs="Arial"/>
          <w:color w:val="00000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Article I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="00C81857" w:rsidRPr="002A335D">
        <w:rPr>
          <w:rFonts w:ascii="Arial" w:eastAsia="標楷體" w:hAnsi="Arial" w:cs="Arial"/>
          <w:color w:val="000000"/>
          <w:sz w:val="28"/>
          <w:szCs w:val="24"/>
        </w:rPr>
        <w:t>In order to effectively manage conference rooms in the Taipei Medical University College of Nutrition (hereinafter referred to as the College), t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he Taipei Medical University College of Nutrition Conference Room Use Regulations (hereinafter referred to as the Regulations) </w:t>
      </w:r>
      <w:r w:rsidR="009C4608" w:rsidRPr="002A335D">
        <w:rPr>
          <w:rFonts w:ascii="Arial" w:eastAsia="標楷體" w:hAnsi="Arial" w:cs="Arial"/>
          <w:color w:val="000000"/>
          <w:sz w:val="28"/>
          <w:szCs w:val="24"/>
        </w:rPr>
        <w:t xml:space="preserve">are </w:t>
      </w:r>
      <w:r w:rsidR="00C81857" w:rsidRPr="002A335D">
        <w:rPr>
          <w:rFonts w:ascii="Arial" w:eastAsia="標楷體" w:hAnsi="Arial" w:cs="Arial"/>
          <w:color w:val="000000"/>
          <w:sz w:val="28"/>
          <w:szCs w:val="24"/>
        </w:rPr>
        <w:t xml:space="preserve">hereby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>formulated.</w:t>
      </w:r>
    </w:p>
    <w:p w14:paraId="39CF2F3A" w14:textId="77777777" w:rsidR="00502FF3" w:rsidRPr="002A335D" w:rsidRDefault="00502FF3" w:rsidP="002A335D">
      <w:pPr>
        <w:tabs>
          <w:tab w:val="left" w:pos="1134"/>
        </w:tabs>
        <w:autoSpaceDE w:val="0"/>
        <w:autoSpaceDN w:val="0"/>
        <w:adjustRightInd w:val="0"/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kern w:val="0"/>
          <w:sz w:val="28"/>
          <w:szCs w:val="24"/>
        </w:rPr>
      </w:pPr>
    </w:p>
    <w:p w14:paraId="5C5399B6" w14:textId="35D3AE06" w:rsidR="00502FF3" w:rsidRPr="002A335D" w:rsidRDefault="00502FF3" w:rsidP="002A335D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第二條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sz w:val="28"/>
          <w:szCs w:val="24"/>
        </w:rPr>
        <w:t>本會議室採預約登記制，每次借用時間以小時為單位，請洽營養學院辦公室登記。</w:t>
      </w:r>
    </w:p>
    <w:p w14:paraId="4D8063F0" w14:textId="60E453FC" w:rsidR="00502FF3" w:rsidRPr="002A335D" w:rsidRDefault="00502FF3" w:rsidP="007E2C6B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rPr>
          <w:rFonts w:ascii="Arial" w:eastAsia="標楷體" w:hAnsi="Arial" w:cs="Arial"/>
          <w:color w:val="0000FF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Article II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ab/>
        <w:t xml:space="preserve"> A reservation system is adopted for conference room use. Each reservation is on a</w:t>
      </w:r>
      <w:r w:rsidR="007A5751" w:rsidRPr="002A335D">
        <w:rPr>
          <w:rFonts w:ascii="Arial" w:eastAsia="標楷體" w:hAnsi="Arial" w:cs="Arial"/>
          <w:color w:val="000000"/>
          <w:sz w:val="28"/>
          <w:szCs w:val="24"/>
        </w:rPr>
        <w:t>n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 hourly basis. </w:t>
      </w:r>
      <w:r w:rsidR="00263841" w:rsidRPr="002A335D">
        <w:rPr>
          <w:rFonts w:ascii="Arial" w:eastAsia="標楷體" w:hAnsi="Arial" w:cs="Arial"/>
          <w:color w:val="000000"/>
          <w:sz w:val="28"/>
          <w:szCs w:val="24"/>
        </w:rPr>
        <w:t>C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ontact the College of Nutrition </w:t>
      </w:r>
      <w:r w:rsidR="005C6B44" w:rsidRPr="002A335D">
        <w:rPr>
          <w:rFonts w:ascii="Arial" w:eastAsia="標楷體" w:hAnsi="Arial" w:cs="Arial"/>
          <w:color w:val="000000"/>
          <w:sz w:val="28"/>
          <w:szCs w:val="24"/>
        </w:rPr>
        <w:t xml:space="preserve">office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>for reservation</w:t>
      </w:r>
      <w:r w:rsidR="005C6B44" w:rsidRPr="002A335D">
        <w:rPr>
          <w:rFonts w:ascii="Arial" w:eastAsia="標楷體" w:hAnsi="Arial" w:cs="Arial"/>
          <w:color w:val="000000"/>
          <w:sz w:val="28"/>
          <w:szCs w:val="24"/>
        </w:rPr>
        <w:t>s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. </w:t>
      </w:r>
    </w:p>
    <w:p w14:paraId="5186CDCC" w14:textId="77777777" w:rsidR="00502FF3" w:rsidRPr="002A335D" w:rsidRDefault="00502FF3" w:rsidP="002A335D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jc w:val="both"/>
        <w:rPr>
          <w:rFonts w:ascii="Arial" w:eastAsia="標楷體" w:hAnsi="Arial" w:cs="Arial"/>
          <w:color w:val="0000FF"/>
          <w:sz w:val="28"/>
          <w:szCs w:val="24"/>
        </w:rPr>
      </w:pPr>
    </w:p>
    <w:p w14:paraId="3B91DC42" w14:textId="55D3F1C9" w:rsidR="00502FF3" w:rsidRPr="002A335D" w:rsidRDefault="00502FF3" w:rsidP="002A335D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第三條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sz w:val="28"/>
          <w:szCs w:val="24"/>
        </w:rPr>
        <w:t>登記借用先後順序為：</w:t>
      </w:r>
    </w:p>
    <w:p w14:paraId="1333F296" w14:textId="54F2C250" w:rsidR="007F4F76" w:rsidRPr="002A335D" w:rsidRDefault="007F4F76" w:rsidP="002A335D">
      <w:pPr>
        <w:pStyle w:val="a7"/>
        <w:tabs>
          <w:tab w:val="left" w:pos="1135"/>
        </w:tabs>
        <w:snapToGrid w:val="0"/>
        <w:spacing w:line="300" w:lineRule="auto"/>
        <w:ind w:leftChars="0" w:left="1322" w:hangingChars="472" w:hanging="1322"/>
        <w:jc w:val="both"/>
        <w:rPr>
          <w:rFonts w:ascii="Arial" w:eastAsia="標楷體" w:hAnsi="Arial" w:cs="Arial"/>
          <w:color w:val="00000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Article III</w:t>
      </w:r>
      <w:r w:rsidR="00C3162E"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 </w:t>
      </w:r>
      <w:r w:rsidR="00D543AA"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Pr="002A335D">
        <w:rPr>
          <w:rFonts w:ascii="Arial" w:eastAsia="標楷體" w:hAnsi="Arial" w:cs="Arial"/>
          <w:color w:val="000000"/>
          <w:sz w:val="28"/>
          <w:szCs w:val="24"/>
        </w:rPr>
        <w:t>The order of priority for reservation</w:t>
      </w:r>
      <w:r w:rsidR="00C02A1D" w:rsidRPr="002A335D">
        <w:rPr>
          <w:rFonts w:ascii="Arial" w:eastAsia="標楷體" w:hAnsi="Arial" w:cs="Arial"/>
          <w:color w:val="000000"/>
          <w:sz w:val="28"/>
          <w:szCs w:val="24"/>
        </w:rPr>
        <w:t>s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 is as follows: </w:t>
      </w:r>
    </w:p>
    <w:p w14:paraId="1E1B4A56" w14:textId="77777777" w:rsidR="00FC72B9" w:rsidRPr="002A335D" w:rsidRDefault="00502FF3" w:rsidP="007E2C6B">
      <w:pPr>
        <w:pStyle w:val="a7"/>
        <w:numPr>
          <w:ilvl w:val="0"/>
          <w:numId w:val="4"/>
        </w:numPr>
        <w:tabs>
          <w:tab w:val="left" w:pos="1232"/>
        </w:tabs>
        <w:snapToGrid w:val="0"/>
        <w:spacing w:line="300" w:lineRule="auto"/>
        <w:ind w:leftChars="582" w:left="1699" w:hangingChars="108" w:hanging="30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學院課程、會議</w:t>
      </w:r>
    </w:p>
    <w:p w14:paraId="2FE2AEBF" w14:textId="2A89F352" w:rsidR="007F4F76" w:rsidRPr="002A335D" w:rsidRDefault="00FC72B9" w:rsidP="007E2C6B">
      <w:pPr>
        <w:pStyle w:val="a7"/>
        <w:tabs>
          <w:tab w:val="left" w:pos="1232"/>
        </w:tabs>
        <w:snapToGrid w:val="0"/>
        <w:spacing w:line="300" w:lineRule="auto"/>
        <w:ind w:leftChars="582" w:left="1397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 xml:space="preserve">1.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 xml:space="preserve">College of Nutrition courses and meetings. </w:t>
      </w:r>
    </w:p>
    <w:p w14:paraId="5EB22B9A" w14:textId="77777777" w:rsidR="00FC72B9" w:rsidRPr="002A335D" w:rsidRDefault="00502FF3" w:rsidP="007E2C6B">
      <w:pPr>
        <w:pStyle w:val="a7"/>
        <w:numPr>
          <w:ilvl w:val="0"/>
          <w:numId w:val="4"/>
        </w:numPr>
        <w:tabs>
          <w:tab w:val="left" w:pos="1232"/>
        </w:tabs>
        <w:snapToGrid w:val="0"/>
        <w:spacing w:line="300" w:lineRule="auto"/>
        <w:ind w:leftChars="582" w:left="1699" w:hangingChars="108" w:hanging="30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院內單位課程、會議</w:t>
      </w:r>
    </w:p>
    <w:p w14:paraId="059CC54F" w14:textId="5F4DBA70" w:rsidR="007F4F76" w:rsidRPr="002A335D" w:rsidRDefault="00FC72B9" w:rsidP="007E2C6B">
      <w:pPr>
        <w:pStyle w:val="a7"/>
        <w:tabs>
          <w:tab w:val="left" w:pos="1232"/>
        </w:tabs>
        <w:snapToGrid w:val="0"/>
        <w:spacing w:line="300" w:lineRule="auto"/>
        <w:ind w:leftChars="582" w:left="1397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 xml:space="preserve">2.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 xml:space="preserve">Courses and meetings of </w:t>
      </w:r>
      <w:r w:rsidR="000A6CEB" w:rsidRPr="002A335D">
        <w:rPr>
          <w:rFonts w:ascii="Arial" w:eastAsia="標楷體" w:hAnsi="Arial" w:cs="Arial"/>
          <w:color w:val="000000"/>
          <w:sz w:val="28"/>
          <w:szCs w:val="24"/>
        </w:rPr>
        <w:t xml:space="preserve">College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>units.</w:t>
      </w:r>
    </w:p>
    <w:p w14:paraId="4941D203" w14:textId="77777777" w:rsidR="00FC72B9" w:rsidRPr="002A335D" w:rsidRDefault="00502FF3" w:rsidP="007E2C6B">
      <w:pPr>
        <w:pStyle w:val="a7"/>
        <w:numPr>
          <w:ilvl w:val="0"/>
          <w:numId w:val="4"/>
        </w:numPr>
        <w:tabs>
          <w:tab w:val="left" w:pos="1232"/>
        </w:tabs>
        <w:snapToGrid w:val="0"/>
        <w:spacing w:line="300" w:lineRule="auto"/>
        <w:ind w:leftChars="582" w:left="1699" w:hangingChars="108" w:hanging="30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院內教師實驗室會議</w:t>
      </w:r>
    </w:p>
    <w:p w14:paraId="363E1353" w14:textId="13386342" w:rsidR="007F4F76" w:rsidRPr="002A335D" w:rsidRDefault="00FC72B9" w:rsidP="007E2C6B">
      <w:pPr>
        <w:pStyle w:val="a7"/>
        <w:tabs>
          <w:tab w:val="left" w:pos="1232"/>
        </w:tabs>
        <w:snapToGrid w:val="0"/>
        <w:spacing w:line="300" w:lineRule="auto"/>
        <w:ind w:leftChars="582" w:left="1397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 xml:space="preserve">3.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>Lab meetings for teachers in the College.</w:t>
      </w:r>
    </w:p>
    <w:p w14:paraId="00E3DC49" w14:textId="77777777" w:rsidR="00FC72B9" w:rsidRPr="002A335D" w:rsidRDefault="00502FF3" w:rsidP="007E2C6B">
      <w:pPr>
        <w:pStyle w:val="a7"/>
        <w:numPr>
          <w:ilvl w:val="0"/>
          <w:numId w:val="4"/>
        </w:numPr>
        <w:tabs>
          <w:tab w:val="left" w:pos="1232"/>
        </w:tabs>
        <w:snapToGrid w:val="0"/>
        <w:spacing w:line="300" w:lineRule="auto"/>
        <w:ind w:leftChars="582" w:left="1699" w:hangingChars="108" w:hanging="30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院內學生會議、活動</w:t>
      </w:r>
    </w:p>
    <w:p w14:paraId="4B24BBA5" w14:textId="540FDD35" w:rsidR="007F4F76" w:rsidRPr="002A335D" w:rsidRDefault="00FC72B9" w:rsidP="007E2C6B">
      <w:pPr>
        <w:pStyle w:val="a7"/>
        <w:tabs>
          <w:tab w:val="left" w:pos="1232"/>
        </w:tabs>
        <w:snapToGrid w:val="0"/>
        <w:spacing w:line="300" w:lineRule="auto"/>
        <w:ind w:leftChars="582" w:left="1397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4.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>Meetings and activities for students in the College</w:t>
      </w:r>
      <w:r w:rsidR="006E12B7" w:rsidRPr="002A335D">
        <w:rPr>
          <w:rFonts w:ascii="Arial" w:eastAsia="標楷體" w:hAnsi="Arial" w:cs="Arial"/>
          <w:color w:val="000000"/>
          <w:sz w:val="28"/>
          <w:szCs w:val="24"/>
        </w:rPr>
        <w:t>.</w:t>
      </w:r>
    </w:p>
    <w:p w14:paraId="285F7513" w14:textId="77777777" w:rsidR="00FC72B9" w:rsidRPr="002A335D" w:rsidRDefault="00502FF3" w:rsidP="007E2C6B">
      <w:pPr>
        <w:pStyle w:val="a7"/>
        <w:numPr>
          <w:ilvl w:val="0"/>
          <w:numId w:val="4"/>
        </w:numPr>
        <w:tabs>
          <w:tab w:val="left" w:pos="1232"/>
        </w:tabs>
        <w:snapToGrid w:val="0"/>
        <w:spacing w:line="300" w:lineRule="auto"/>
        <w:ind w:leftChars="582" w:left="1699" w:hangingChars="108" w:hanging="30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其他校內單位</w:t>
      </w:r>
      <w:r w:rsidRPr="002A335D">
        <w:rPr>
          <w:rFonts w:ascii="Arial" w:eastAsia="標楷體" w:hAnsi="Arial" w:cs="Arial"/>
          <w:sz w:val="28"/>
          <w:szCs w:val="24"/>
        </w:rPr>
        <w:t>(</w:t>
      </w:r>
      <w:r w:rsidRPr="002A335D">
        <w:rPr>
          <w:rFonts w:ascii="Arial" w:eastAsia="標楷體" w:hAnsi="Arial" w:cs="Arial"/>
          <w:sz w:val="28"/>
          <w:szCs w:val="24"/>
        </w:rPr>
        <w:t>僅提供即日起一個月內之借用</w:t>
      </w:r>
      <w:r w:rsidRPr="002A335D">
        <w:rPr>
          <w:rFonts w:ascii="Arial" w:eastAsia="標楷體" w:hAnsi="Arial" w:cs="Arial"/>
          <w:sz w:val="28"/>
          <w:szCs w:val="24"/>
        </w:rPr>
        <w:t>)</w:t>
      </w:r>
      <w:r w:rsidRPr="002A335D">
        <w:rPr>
          <w:rFonts w:ascii="Arial" w:eastAsia="標楷體" w:hAnsi="Arial" w:cs="Arial"/>
          <w:sz w:val="28"/>
          <w:szCs w:val="24"/>
        </w:rPr>
        <w:t>。</w:t>
      </w:r>
    </w:p>
    <w:p w14:paraId="2ECB215B" w14:textId="4C370DF5" w:rsidR="007F4F76" w:rsidRPr="002A335D" w:rsidRDefault="00FC72B9" w:rsidP="007E2C6B">
      <w:pPr>
        <w:pStyle w:val="a7"/>
        <w:tabs>
          <w:tab w:val="left" w:pos="1560"/>
        </w:tabs>
        <w:snapToGrid w:val="0"/>
        <w:spacing w:line="300" w:lineRule="auto"/>
        <w:ind w:leftChars="582" w:left="1397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 xml:space="preserve">5.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 xml:space="preserve">Other on-campus units (reservations </w:t>
      </w:r>
      <w:r w:rsidR="00356D3B" w:rsidRPr="002A335D">
        <w:rPr>
          <w:rFonts w:ascii="Arial" w:eastAsia="標楷體" w:hAnsi="Arial" w:cs="Arial"/>
          <w:color w:val="000000"/>
          <w:sz w:val="28"/>
          <w:szCs w:val="24"/>
        </w:rPr>
        <w:t xml:space="preserve">only available when </w:t>
      </w:r>
      <w:r w:rsidR="00356D3B" w:rsidRPr="002A335D">
        <w:rPr>
          <w:rFonts w:ascii="Arial" w:eastAsia="標楷體" w:hAnsi="Arial" w:cs="Arial"/>
          <w:color w:val="000000"/>
          <w:sz w:val="28"/>
          <w:szCs w:val="24"/>
        </w:rPr>
        <w:lastRenderedPageBreak/>
        <w:t xml:space="preserve">made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>one month in advance).</w:t>
      </w:r>
    </w:p>
    <w:p w14:paraId="23F49743" w14:textId="27484071" w:rsidR="00502FF3" w:rsidRPr="002A335D" w:rsidRDefault="00D543AA" w:rsidP="002A335D">
      <w:pPr>
        <w:pStyle w:val="a7"/>
        <w:tabs>
          <w:tab w:val="left" w:pos="1276"/>
        </w:tabs>
        <w:snapToGrid w:val="0"/>
        <w:spacing w:line="300" w:lineRule="auto"/>
        <w:ind w:leftChars="531" w:left="1274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ab/>
      </w:r>
      <w:r w:rsidR="00502FF3" w:rsidRPr="002A335D">
        <w:rPr>
          <w:rFonts w:ascii="Arial" w:eastAsia="標楷體" w:hAnsi="Arial" w:cs="Arial"/>
          <w:sz w:val="28"/>
          <w:szCs w:val="24"/>
        </w:rPr>
        <w:t>若營養學院及轄下單位舉行緊急且必要事務時，因私人聚會借用者，請改期或更改地點。</w:t>
      </w:r>
    </w:p>
    <w:p w14:paraId="5CF49424" w14:textId="77777777" w:rsidR="00502FF3" w:rsidRPr="002A335D" w:rsidRDefault="00502FF3" w:rsidP="007E2C6B">
      <w:pPr>
        <w:pStyle w:val="a7"/>
        <w:tabs>
          <w:tab w:val="left" w:pos="1276"/>
        </w:tabs>
        <w:snapToGrid w:val="0"/>
        <w:spacing w:line="300" w:lineRule="auto"/>
        <w:ind w:leftChars="531" w:left="1274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sz w:val="28"/>
          <w:szCs w:val="24"/>
        </w:rPr>
        <w:t>If the College of Nutrition and its units have urgent and necessary business affairs, private borrowers shall reschedule their reservation or change their venue.</w:t>
      </w:r>
    </w:p>
    <w:p w14:paraId="7B387596" w14:textId="77777777" w:rsidR="007F4F76" w:rsidRPr="002A335D" w:rsidRDefault="007F4F76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kern w:val="0"/>
          <w:sz w:val="28"/>
          <w:szCs w:val="24"/>
        </w:rPr>
      </w:pPr>
    </w:p>
    <w:p w14:paraId="2DE40611" w14:textId="4E55E23D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第四條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sz w:val="28"/>
          <w:szCs w:val="24"/>
        </w:rPr>
        <w:t>借用人</w:t>
      </w:r>
      <w:r w:rsidRPr="002A335D">
        <w:rPr>
          <w:rFonts w:ascii="Arial" w:eastAsia="標楷體" w:hAnsi="Arial" w:cs="Arial"/>
          <w:sz w:val="28"/>
          <w:szCs w:val="24"/>
        </w:rPr>
        <w:t>(</w:t>
      </w:r>
      <w:r w:rsidRPr="002A335D">
        <w:rPr>
          <w:rFonts w:ascii="Arial" w:eastAsia="標楷體" w:hAnsi="Arial" w:cs="Arial"/>
          <w:sz w:val="28"/>
          <w:szCs w:val="24"/>
        </w:rPr>
        <w:t>或上課班級代表</w:t>
      </w:r>
      <w:r w:rsidRPr="002A335D">
        <w:rPr>
          <w:rFonts w:ascii="Arial" w:eastAsia="標楷體" w:hAnsi="Arial" w:cs="Arial"/>
          <w:sz w:val="28"/>
          <w:szCs w:val="24"/>
        </w:rPr>
        <w:t>)</w:t>
      </w:r>
      <w:r w:rsidRPr="002A335D">
        <w:rPr>
          <w:rFonts w:ascii="Arial" w:eastAsia="標楷體" w:hAnsi="Arial" w:cs="Arial"/>
          <w:sz w:val="28"/>
          <w:szCs w:val="24"/>
        </w:rPr>
        <w:t>請上班時間內至院辦公室借用會議室鑰匙</w:t>
      </w:r>
      <w:r w:rsidRPr="002A335D">
        <w:rPr>
          <w:rFonts w:ascii="Arial" w:eastAsia="標楷體" w:hAnsi="Arial" w:cs="Arial"/>
          <w:sz w:val="28"/>
          <w:szCs w:val="24"/>
        </w:rPr>
        <w:t>(</w:t>
      </w:r>
      <w:r w:rsidRPr="002A335D">
        <w:rPr>
          <w:rFonts w:ascii="Arial" w:eastAsia="標楷體" w:hAnsi="Arial" w:cs="Arial"/>
          <w:sz w:val="28"/>
          <w:szCs w:val="24"/>
        </w:rPr>
        <w:t>需填寫鑰匙借用本</w:t>
      </w:r>
      <w:r w:rsidRPr="002A335D">
        <w:rPr>
          <w:rFonts w:ascii="Arial" w:eastAsia="標楷體" w:hAnsi="Arial" w:cs="Arial"/>
          <w:sz w:val="28"/>
          <w:szCs w:val="24"/>
        </w:rPr>
        <w:t>)</w:t>
      </w:r>
      <w:r w:rsidRPr="002A335D">
        <w:rPr>
          <w:rFonts w:ascii="Arial" w:eastAsia="標楷體" w:hAnsi="Arial" w:cs="Arial"/>
          <w:sz w:val="28"/>
          <w:szCs w:val="24"/>
        </w:rPr>
        <w:t>，並自行確認會議設備可正常使用。</w:t>
      </w:r>
    </w:p>
    <w:p w14:paraId="0FE4B5CC" w14:textId="3C4C36BC" w:rsidR="00502FF3" w:rsidRPr="002A335D" w:rsidRDefault="002A335D" w:rsidP="007E2C6B">
      <w:pPr>
        <w:pStyle w:val="a7"/>
        <w:snapToGrid w:val="0"/>
        <w:spacing w:line="300" w:lineRule="auto"/>
        <w:ind w:leftChars="0" w:left="1322" w:hangingChars="472" w:hanging="1322"/>
        <w:rPr>
          <w:rFonts w:ascii="Arial" w:eastAsia="標楷體" w:hAnsi="Arial" w:cs="Arial"/>
          <w:color w:val="000000"/>
          <w:sz w:val="28"/>
          <w:szCs w:val="24"/>
        </w:rPr>
      </w:pPr>
      <w:r>
        <w:rPr>
          <w:rFonts w:ascii="Arial" w:eastAsia="標楷體" w:hAnsi="Arial" w:cs="Arial"/>
          <w:color w:val="000000"/>
          <w:sz w:val="28"/>
          <w:szCs w:val="24"/>
        </w:rPr>
        <w:t>Article IV</w:t>
      </w:r>
      <w:r>
        <w:rPr>
          <w:rFonts w:ascii="Arial" w:eastAsia="標楷體" w:hAnsi="Arial" w:cs="Arial"/>
          <w:color w:val="000000"/>
          <w:sz w:val="28"/>
          <w:szCs w:val="24"/>
        </w:rPr>
        <w:tab/>
      </w:r>
      <w:r w:rsidR="00502FF3" w:rsidRPr="002A335D">
        <w:rPr>
          <w:rFonts w:ascii="Arial" w:eastAsia="標楷體" w:hAnsi="Arial" w:cs="Arial"/>
          <w:color w:val="000000"/>
          <w:sz w:val="28"/>
          <w:szCs w:val="24"/>
        </w:rPr>
        <w:t>Borrowers (or class representatives) may obtain the</w:t>
      </w:r>
      <w:r w:rsidR="00764A80" w:rsidRPr="002A335D">
        <w:rPr>
          <w:rFonts w:ascii="Arial" w:eastAsia="標楷體" w:hAnsi="Arial" w:cs="Arial"/>
          <w:color w:val="000000"/>
          <w:sz w:val="28"/>
          <w:szCs w:val="24"/>
        </w:rPr>
        <w:t xml:space="preserve"> </w:t>
      </w:r>
      <w:r w:rsidR="00502FF3" w:rsidRPr="002A335D">
        <w:rPr>
          <w:rFonts w:ascii="Arial" w:eastAsia="標楷體" w:hAnsi="Arial" w:cs="Arial"/>
          <w:color w:val="000000"/>
          <w:sz w:val="28"/>
          <w:szCs w:val="24"/>
        </w:rPr>
        <w:t>conference room key from the College office during working hours (key loan log book</w:t>
      </w:r>
      <w:r w:rsidR="00251721" w:rsidRPr="002A335D">
        <w:rPr>
          <w:rFonts w:ascii="Arial" w:eastAsia="標楷體" w:hAnsi="Arial" w:cs="Arial"/>
          <w:color w:val="000000"/>
          <w:sz w:val="28"/>
          <w:szCs w:val="24"/>
        </w:rPr>
        <w:t xml:space="preserve"> must be filled out</w:t>
      </w:r>
      <w:r w:rsidR="00502FF3" w:rsidRPr="002A335D">
        <w:rPr>
          <w:rFonts w:ascii="Arial" w:eastAsia="標楷體" w:hAnsi="Arial" w:cs="Arial"/>
          <w:color w:val="000000"/>
          <w:sz w:val="28"/>
          <w:szCs w:val="24"/>
        </w:rPr>
        <w:t>), and ensure that the conference equipment is functional.</w:t>
      </w:r>
    </w:p>
    <w:p w14:paraId="541F0AB5" w14:textId="77777777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sz w:val="28"/>
          <w:szCs w:val="24"/>
        </w:rPr>
      </w:pPr>
    </w:p>
    <w:p w14:paraId="45EA930D" w14:textId="6B0E8BD6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第五條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Pr="002A335D">
        <w:rPr>
          <w:rFonts w:ascii="Arial" w:eastAsia="標楷體" w:hAnsi="Arial" w:cs="Arial"/>
          <w:sz w:val="28"/>
          <w:szCs w:val="24"/>
        </w:rPr>
        <w:t>會議室使用完畢請將會議桌椅恢復原狀，關閉會議設備、電燈及空調並將門窗上鎖。</w:t>
      </w:r>
    </w:p>
    <w:p w14:paraId="531836A2" w14:textId="3A75161A" w:rsidR="00502FF3" w:rsidRPr="002A335D" w:rsidRDefault="00502FF3" w:rsidP="007E2C6B">
      <w:pPr>
        <w:pStyle w:val="a7"/>
        <w:tabs>
          <w:tab w:val="left" w:pos="1080"/>
        </w:tabs>
        <w:snapToGrid w:val="0"/>
        <w:spacing w:line="300" w:lineRule="auto"/>
        <w:ind w:leftChars="0" w:left="1322" w:hangingChars="472" w:hanging="1322"/>
        <w:rPr>
          <w:rFonts w:ascii="Arial" w:eastAsia="標楷體" w:hAnsi="Arial" w:cs="Arial"/>
          <w:color w:val="00000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Article V </w:t>
      </w:r>
      <w:r w:rsidR="007F4F76" w:rsidRPr="002A335D">
        <w:rPr>
          <w:rFonts w:ascii="Arial" w:eastAsia="標楷體" w:hAnsi="Arial" w:cs="Arial"/>
          <w:color w:val="000000"/>
          <w:sz w:val="28"/>
          <w:szCs w:val="24"/>
        </w:rPr>
        <w:tab/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After using the conference room, restore the table and chairs to their original </w:t>
      </w:r>
      <w:r w:rsidR="007F5D0A" w:rsidRPr="002A335D">
        <w:rPr>
          <w:rFonts w:ascii="Arial" w:eastAsia="標楷體" w:hAnsi="Arial" w:cs="Arial"/>
          <w:color w:val="000000"/>
          <w:sz w:val="28"/>
          <w:szCs w:val="24"/>
        </w:rPr>
        <w:t>state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, turn off the equipment, lights and air conditioners, and lock the windows and doors. </w:t>
      </w:r>
    </w:p>
    <w:p w14:paraId="62F4C7AE" w14:textId="77777777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sz w:val="28"/>
          <w:szCs w:val="24"/>
        </w:rPr>
      </w:pPr>
    </w:p>
    <w:p w14:paraId="639D4E74" w14:textId="172F1460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第六條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sz w:val="28"/>
          <w:szCs w:val="24"/>
        </w:rPr>
        <w:t>若違反上述相關規定，經勸導未改善者，將暫停借用權限一個月。</w:t>
      </w:r>
    </w:p>
    <w:p w14:paraId="24D795BA" w14:textId="477EE9F8" w:rsidR="00502FF3" w:rsidRPr="002A335D" w:rsidRDefault="00502FF3" w:rsidP="007E2C6B">
      <w:pPr>
        <w:pStyle w:val="a7"/>
        <w:snapToGrid w:val="0"/>
        <w:spacing w:line="300" w:lineRule="auto"/>
        <w:ind w:leftChars="0" w:left="1417" w:hangingChars="506" w:hanging="1417"/>
        <w:rPr>
          <w:rFonts w:ascii="Arial" w:eastAsia="標楷體" w:hAnsi="Arial" w:cs="Arial"/>
          <w:color w:val="00000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Article VI</w:t>
      </w:r>
      <w:r w:rsidR="007E2C6B">
        <w:rPr>
          <w:rFonts w:ascii="Arial" w:eastAsia="標楷體" w:hAnsi="Arial" w:cs="Arial" w:hint="eastAsia"/>
          <w:color w:val="000000"/>
          <w:sz w:val="28"/>
          <w:szCs w:val="24"/>
        </w:rPr>
        <w:t xml:space="preserve"> 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Those </w:t>
      </w:r>
      <w:r w:rsidR="00DB0107" w:rsidRPr="002A335D">
        <w:rPr>
          <w:rFonts w:ascii="Arial" w:eastAsia="標楷體" w:hAnsi="Arial" w:cs="Arial"/>
          <w:color w:val="000000"/>
          <w:sz w:val="28"/>
          <w:szCs w:val="24"/>
        </w:rPr>
        <w:t xml:space="preserve">who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>violat</w:t>
      </w:r>
      <w:r w:rsidR="00DB0107" w:rsidRPr="002A335D">
        <w:rPr>
          <w:rFonts w:ascii="Arial" w:eastAsia="標楷體" w:hAnsi="Arial" w:cs="Arial"/>
          <w:color w:val="000000"/>
          <w:sz w:val="28"/>
          <w:szCs w:val="24"/>
        </w:rPr>
        <w:t xml:space="preserve">e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the abovementioned regulations and who show no improvement after </w:t>
      </w:r>
      <w:r w:rsidR="00DB0107" w:rsidRPr="002A335D">
        <w:rPr>
          <w:rFonts w:ascii="Arial" w:eastAsia="標楷體" w:hAnsi="Arial" w:cs="Arial"/>
          <w:color w:val="000000"/>
          <w:sz w:val="28"/>
          <w:szCs w:val="24"/>
        </w:rPr>
        <w:t xml:space="preserve">a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warning shall </w:t>
      </w:r>
      <w:r w:rsidR="00DB0107" w:rsidRPr="002A335D">
        <w:rPr>
          <w:rFonts w:ascii="Arial" w:eastAsia="標楷體" w:hAnsi="Arial" w:cs="Arial"/>
          <w:color w:val="000000"/>
          <w:sz w:val="28"/>
          <w:szCs w:val="24"/>
        </w:rPr>
        <w:t xml:space="preserve">have their right to use the room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suspended for one month. </w:t>
      </w:r>
    </w:p>
    <w:p w14:paraId="7D97D563" w14:textId="77777777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sz w:val="28"/>
          <w:szCs w:val="24"/>
        </w:rPr>
      </w:pPr>
    </w:p>
    <w:p w14:paraId="44E2287B" w14:textId="5C684286" w:rsidR="00502FF3" w:rsidRPr="002A335D" w:rsidRDefault="00502FF3" w:rsidP="00D543AA">
      <w:pPr>
        <w:tabs>
          <w:tab w:val="left" w:pos="1135"/>
        </w:tabs>
        <w:snapToGrid w:val="0"/>
        <w:spacing w:line="300" w:lineRule="auto"/>
        <w:ind w:left="1322" w:hangingChars="472" w:hanging="1322"/>
        <w:jc w:val="both"/>
        <w:rPr>
          <w:rFonts w:ascii="Arial" w:eastAsia="標楷體" w:hAnsi="Arial" w:cs="Arial"/>
          <w:color w:val="000000"/>
          <w:kern w:val="0"/>
          <w:sz w:val="28"/>
          <w:szCs w:val="24"/>
        </w:rPr>
      </w:pP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第七條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="00D543AA"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ab/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本規則由院主管會議通過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>；</w:t>
      </w:r>
      <w:r w:rsidRPr="002A335D">
        <w:rPr>
          <w:rFonts w:ascii="Arial" w:eastAsia="標楷體" w:hAnsi="Arial" w:cs="Arial"/>
          <w:color w:val="000000"/>
          <w:kern w:val="0"/>
          <w:sz w:val="28"/>
          <w:szCs w:val="24"/>
        </w:rPr>
        <w:t>修正時亦同。</w:t>
      </w:r>
    </w:p>
    <w:p w14:paraId="3337D7B8" w14:textId="42F1E624" w:rsidR="00502FF3" w:rsidRPr="002A335D" w:rsidRDefault="00502FF3" w:rsidP="007E2C6B">
      <w:pPr>
        <w:pStyle w:val="a7"/>
        <w:snapToGrid w:val="0"/>
        <w:spacing w:line="300" w:lineRule="auto"/>
        <w:ind w:leftChars="0" w:left="1417" w:hangingChars="506" w:hanging="1417"/>
        <w:rPr>
          <w:rFonts w:ascii="Arial" w:eastAsia="標楷體" w:hAnsi="Arial" w:cs="Arial"/>
          <w:color w:val="000000"/>
          <w:szCs w:val="24"/>
        </w:rPr>
      </w:pPr>
      <w:r w:rsidRPr="002A335D">
        <w:rPr>
          <w:rFonts w:ascii="Arial" w:eastAsia="標楷體" w:hAnsi="Arial" w:cs="Arial"/>
          <w:color w:val="000000"/>
          <w:sz w:val="28"/>
          <w:szCs w:val="24"/>
        </w:rPr>
        <w:t>Article VII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ab/>
        <w:t>Th</w:t>
      </w:r>
      <w:r w:rsidR="00DE65DC" w:rsidRPr="002A335D">
        <w:rPr>
          <w:rFonts w:ascii="Arial" w:eastAsia="標楷體" w:hAnsi="Arial" w:cs="Arial"/>
          <w:color w:val="000000"/>
          <w:sz w:val="28"/>
          <w:szCs w:val="24"/>
        </w:rPr>
        <w:t xml:space="preserve">ese 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Regulations </w:t>
      </w:r>
      <w:r w:rsidR="00DE65DC" w:rsidRPr="002A335D">
        <w:rPr>
          <w:rFonts w:ascii="Arial" w:eastAsia="標楷體" w:hAnsi="Arial" w:cs="Arial"/>
          <w:color w:val="000000"/>
          <w:sz w:val="28"/>
          <w:szCs w:val="24"/>
        </w:rPr>
        <w:t>are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 approved by the College Executive Meeting; </w:t>
      </w:r>
      <w:r w:rsidR="00B0615F" w:rsidRPr="002A335D">
        <w:rPr>
          <w:rFonts w:ascii="Arial" w:eastAsia="標楷體" w:hAnsi="Arial" w:cs="Arial"/>
          <w:color w:val="000000"/>
          <w:sz w:val="28"/>
          <w:szCs w:val="24"/>
        </w:rPr>
        <w:t>the same shall apply to any amendments</w:t>
      </w:r>
      <w:r w:rsidRPr="002A335D">
        <w:rPr>
          <w:rFonts w:ascii="Arial" w:eastAsia="標楷體" w:hAnsi="Arial" w:cs="Arial"/>
          <w:color w:val="000000"/>
          <w:sz w:val="28"/>
          <w:szCs w:val="24"/>
        </w:rPr>
        <w:t xml:space="preserve">. </w:t>
      </w:r>
    </w:p>
    <w:p w14:paraId="005B69F1" w14:textId="77777777" w:rsidR="00502FF3" w:rsidRPr="002A335D" w:rsidRDefault="00502FF3" w:rsidP="007F4F76">
      <w:pPr>
        <w:pStyle w:val="a7"/>
        <w:tabs>
          <w:tab w:val="left" w:pos="1135"/>
        </w:tabs>
        <w:snapToGrid w:val="0"/>
        <w:spacing w:line="300" w:lineRule="auto"/>
        <w:ind w:leftChars="0" w:left="1133" w:hangingChars="472" w:hanging="1133"/>
        <w:jc w:val="both"/>
        <w:rPr>
          <w:rFonts w:ascii="Arial" w:eastAsia="標楷體" w:hAnsi="Arial" w:cs="Arial"/>
          <w:color w:val="000000"/>
        </w:rPr>
      </w:pPr>
    </w:p>
    <w:sectPr w:rsidR="00502FF3" w:rsidRPr="002A335D" w:rsidSect="00D543AA">
      <w:footerReference w:type="default" r:id="rId7"/>
      <w:pgSz w:w="11906" w:h="16838" w:code="9"/>
      <w:pgMar w:top="1304" w:right="1304" w:bottom="130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0C1C" w14:textId="77777777" w:rsidR="005C22BD" w:rsidRDefault="005C22BD" w:rsidP="005D2318">
      <w:r>
        <w:separator/>
      </w:r>
    </w:p>
  </w:endnote>
  <w:endnote w:type="continuationSeparator" w:id="0">
    <w:p w14:paraId="6929BCDE" w14:textId="77777777" w:rsidR="005C22BD" w:rsidRDefault="005C22BD" w:rsidP="005D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820A" w14:textId="2B0F6120" w:rsidR="00502FF3" w:rsidRPr="0033123B" w:rsidRDefault="00502FF3" w:rsidP="0033123B">
    <w:pPr>
      <w:pStyle w:val="a5"/>
      <w:jc w:val="center"/>
      <w:rPr>
        <w:rFonts w:ascii="Arial" w:eastAsia="標楷體" w:hAnsi="Arial" w:cs="Arial"/>
      </w:rPr>
    </w:pPr>
    <w:r w:rsidRPr="00AF6FFE">
      <w:rPr>
        <w:rFonts w:ascii="Arial" w:eastAsia="標楷體" w:hAnsi="Arial" w:cs="Arial"/>
      </w:rPr>
      <w:fldChar w:fldCharType="begin"/>
    </w:r>
    <w:r w:rsidRPr="00AF6FFE">
      <w:rPr>
        <w:rFonts w:ascii="Arial" w:eastAsia="標楷體" w:hAnsi="Arial" w:cs="Arial"/>
      </w:rPr>
      <w:instrText>PAGE   \* MERGEFORMAT</w:instrText>
    </w:r>
    <w:r w:rsidRPr="00AF6FFE">
      <w:rPr>
        <w:rFonts w:ascii="Arial" w:eastAsia="標楷體" w:hAnsi="Arial" w:cs="Arial"/>
      </w:rPr>
      <w:fldChar w:fldCharType="separate"/>
    </w:r>
    <w:r w:rsidR="002A335D" w:rsidRPr="002A335D">
      <w:rPr>
        <w:rFonts w:ascii="Arial" w:eastAsia="標楷體" w:hAnsi="Arial" w:cs="Arial"/>
        <w:noProof/>
        <w:lang w:val="zh-TW"/>
      </w:rPr>
      <w:t>1</w:t>
    </w:r>
    <w:r w:rsidRPr="00AF6FFE">
      <w:rPr>
        <w:rFonts w:ascii="Arial" w:eastAsia="標楷體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C3F1" w14:textId="77777777" w:rsidR="005C22BD" w:rsidRDefault="005C22BD" w:rsidP="005D2318">
      <w:r>
        <w:separator/>
      </w:r>
    </w:p>
  </w:footnote>
  <w:footnote w:type="continuationSeparator" w:id="0">
    <w:p w14:paraId="530A8A22" w14:textId="77777777" w:rsidR="005C22BD" w:rsidRDefault="005C22BD" w:rsidP="005D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AC0"/>
    <w:multiLevelType w:val="hybridMultilevel"/>
    <w:tmpl w:val="E1146E26"/>
    <w:lvl w:ilvl="0" w:tplc="0409000F">
      <w:start w:val="1"/>
      <w:numFmt w:val="decimal"/>
      <w:lvlText w:val="%1."/>
      <w:lvlJc w:val="left"/>
      <w:pPr>
        <w:ind w:left="19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  <w:rPr>
        <w:rFonts w:cs="Times New Roman"/>
      </w:rPr>
    </w:lvl>
  </w:abstractNum>
  <w:abstractNum w:abstractNumId="1" w15:restartNumberingAfterBreak="0">
    <w:nsid w:val="3F3A543F"/>
    <w:multiLevelType w:val="hybridMultilevel"/>
    <w:tmpl w:val="3C4CAAAE"/>
    <w:lvl w:ilvl="0" w:tplc="75501FA4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5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9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478" w:hanging="480"/>
      </w:pPr>
      <w:rPr>
        <w:rFonts w:cs="Times New Roman"/>
      </w:rPr>
    </w:lvl>
  </w:abstractNum>
  <w:abstractNum w:abstractNumId="2" w15:restartNumberingAfterBreak="0">
    <w:nsid w:val="5B5217F3"/>
    <w:multiLevelType w:val="hybridMultilevel"/>
    <w:tmpl w:val="F594CA40"/>
    <w:lvl w:ilvl="0" w:tplc="75501FA4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FFB7420"/>
    <w:multiLevelType w:val="hybridMultilevel"/>
    <w:tmpl w:val="919A4E1A"/>
    <w:lvl w:ilvl="0" w:tplc="BF56F28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318"/>
    <w:rsid w:val="0002011B"/>
    <w:rsid w:val="00041C3E"/>
    <w:rsid w:val="00084430"/>
    <w:rsid w:val="00095F8E"/>
    <w:rsid w:val="000A6CEB"/>
    <w:rsid w:val="000C247A"/>
    <w:rsid w:val="000C38C8"/>
    <w:rsid w:val="000F7981"/>
    <w:rsid w:val="0011372F"/>
    <w:rsid w:val="00131453"/>
    <w:rsid w:val="00135782"/>
    <w:rsid w:val="0015151A"/>
    <w:rsid w:val="00195BC0"/>
    <w:rsid w:val="001D26F3"/>
    <w:rsid w:val="001E71BD"/>
    <w:rsid w:val="001F4F50"/>
    <w:rsid w:val="0020016A"/>
    <w:rsid w:val="00211AEF"/>
    <w:rsid w:val="002302BB"/>
    <w:rsid w:val="00251721"/>
    <w:rsid w:val="00260441"/>
    <w:rsid w:val="00263841"/>
    <w:rsid w:val="002804EE"/>
    <w:rsid w:val="002841CB"/>
    <w:rsid w:val="002A0AED"/>
    <w:rsid w:val="002A3046"/>
    <w:rsid w:val="002A335D"/>
    <w:rsid w:val="002B64B1"/>
    <w:rsid w:val="002B6E2C"/>
    <w:rsid w:val="002D4D88"/>
    <w:rsid w:val="002D5CEB"/>
    <w:rsid w:val="00317F90"/>
    <w:rsid w:val="0033123B"/>
    <w:rsid w:val="003364A7"/>
    <w:rsid w:val="00345B67"/>
    <w:rsid w:val="00347165"/>
    <w:rsid w:val="00355D36"/>
    <w:rsid w:val="00356D3B"/>
    <w:rsid w:val="003717CC"/>
    <w:rsid w:val="00396043"/>
    <w:rsid w:val="003C662C"/>
    <w:rsid w:val="003F666A"/>
    <w:rsid w:val="00421B92"/>
    <w:rsid w:val="00442905"/>
    <w:rsid w:val="00447309"/>
    <w:rsid w:val="0044789A"/>
    <w:rsid w:val="0045213B"/>
    <w:rsid w:val="00497AE5"/>
    <w:rsid w:val="004B67A2"/>
    <w:rsid w:val="004D35E4"/>
    <w:rsid w:val="004E1DA1"/>
    <w:rsid w:val="004E50BF"/>
    <w:rsid w:val="00502FF3"/>
    <w:rsid w:val="005059CC"/>
    <w:rsid w:val="0052549A"/>
    <w:rsid w:val="00536253"/>
    <w:rsid w:val="0053752F"/>
    <w:rsid w:val="00543476"/>
    <w:rsid w:val="00550E2C"/>
    <w:rsid w:val="00596348"/>
    <w:rsid w:val="005971E8"/>
    <w:rsid w:val="005A11B0"/>
    <w:rsid w:val="005A428C"/>
    <w:rsid w:val="005C22BD"/>
    <w:rsid w:val="005C6B44"/>
    <w:rsid w:val="005D0129"/>
    <w:rsid w:val="005D2318"/>
    <w:rsid w:val="00612221"/>
    <w:rsid w:val="006147A8"/>
    <w:rsid w:val="00635E61"/>
    <w:rsid w:val="00637254"/>
    <w:rsid w:val="00641D35"/>
    <w:rsid w:val="00667858"/>
    <w:rsid w:val="0066797C"/>
    <w:rsid w:val="00672556"/>
    <w:rsid w:val="006835C4"/>
    <w:rsid w:val="006A73C4"/>
    <w:rsid w:val="006B228D"/>
    <w:rsid w:val="006B6430"/>
    <w:rsid w:val="006E12B7"/>
    <w:rsid w:val="00716684"/>
    <w:rsid w:val="00721B0B"/>
    <w:rsid w:val="00755536"/>
    <w:rsid w:val="00764A80"/>
    <w:rsid w:val="007A5751"/>
    <w:rsid w:val="007A6B51"/>
    <w:rsid w:val="007C0DC6"/>
    <w:rsid w:val="007E2C6B"/>
    <w:rsid w:val="007F4F76"/>
    <w:rsid w:val="007F5D0A"/>
    <w:rsid w:val="00824577"/>
    <w:rsid w:val="00867DA0"/>
    <w:rsid w:val="0088413B"/>
    <w:rsid w:val="008A01DE"/>
    <w:rsid w:val="008A665B"/>
    <w:rsid w:val="008B7F69"/>
    <w:rsid w:val="008C00F6"/>
    <w:rsid w:val="00900FFA"/>
    <w:rsid w:val="00916D6E"/>
    <w:rsid w:val="00917D10"/>
    <w:rsid w:val="00932EC9"/>
    <w:rsid w:val="0094373C"/>
    <w:rsid w:val="00944A4F"/>
    <w:rsid w:val="00946D51"/>
    <w:rsid w:val="00986F8A"/>
    <w:rsid w:val="00987323"/>
    <w:rsid w:val="009A438B"/>
    <w:rsid w:val="009C4608"/>
    <w:rsid w:val="009D7719"/>
    <w:rsid w:val="009E36BA"/>
    <w:rsid w:val="009E5AC5"/>
    <w:rsid w:val="009E6279"/>
    <w:rsid w:val="00A14831"/>
    <w:rsid w:val="00A15925"/>
    <w:rsid w:val="00A2226D"/>
    <w:rsid w:val="00A46272"/>
    <w:rsid w:val="00A55DC2"/>
    <w:rsid w:val="00AC223E"/>
    <w:rsid w:val="00AC55C0"/>
    <w:rsid w:val="00AE07DA"/>
    <w:rsid w:val="00AF6FFE"/>
    <w:rsid w:val="00B03169"/>
    <w:rsid w:val="00B0615F"/>
    <w:rsid w:val="00B231A7"/>
    <w:rsid w:val="00B23369"/>
    <w:rsid w:val="00B44785"/>
    <w:rsid w:val="00B67212"/>
    <w:rsid w:val="00B747CC"/>
    <w:rsid w:val="00B87FAF"/>
    <w:rsid w:val="00B94A41"/>
    <w:rsid w:val="00B954C1"/>
    <w:rsid w:val="00BA57E0"/>
    <w:rsid w:val="00BA76B8"/>
    <w:rsid w:val="00BE4A62"/>
    <w:rsid w:val="00C02A1D"/>
    <w:rsid w:val="00C079CE"/>
    <w:rsid w:val="00C07B44"/>
    <w:rsid w:val="00C146D9"/>
    <w:rsid w:val="00C14831"/>
    <w:rsid w:val="00C2623E"/>
    <w:rsid w:val="00C3162E"/>
    <w:rsid w:val="00C34269"/>
    <w:rsid w:val="00C54FC0"/>
    <w:rsid w:val="00C81857"/>
    <w:rsid w:val="00D200E7"/>
    <w:rsid w:val="00D40714"/>
    <w:rsid w:val="00D434E5"/>
    <w:rsid w:val="00D543AA"/>
    <w:rsid w:val="00DB0107"/>
    <w:rsid w:val="00DB297A"/>
    <w:rsid w:val="00DE5393"/>
    <w:rsid w:val="00DE65DC"/>
    <w:rsid w:val="00E066FA"/>
    <w:rsid w:val="00E77097"/>
    <w:rsid w:val="00EF1F73"/>
    <w:rsid w:val="00F1301E"/>
    <w:rsid w:val="00F6534C"/>
    <w:rsid w:val="00F75566"/>
    <w:rsid w:val="00F871DC"/>
    <w:rsid w:val="00F92901"/>
    <w:rsid w:val="00F976E5"/>
    <w:rsid w:val="00FA043C"/>
    <w:rsid w:val="00FA3FB8"/>
    <w:rsid w:val="00FA5BCE"/>
    <w:rsid w:val="00FB0BBD"/>
    <w:rsid w:val="00FB1236"/>
    <w:rsid w:val="00FB6217"/>
    <w:rsid w:val="00FC72B9"/>
    <w:rsid w:val="00FF114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A1D1913"/>
  <w15:docId w15:val="{9621334B-3267-4DF0-887A-E89FDD4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A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231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231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D23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9E36B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E36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臺北醫學大學營養學院會議室使用規則</dc:title>
  <dc:subject/>
  <dc:creator>user</dc:creator>
  <cp:keywords/>
  <dc:description/>
  <cp:lastModifiedBy>Johlmike Lin</cp:lastModifiedBy>
  <cp:revision>46</cp:revision>
  <cp:lastPrinted>2018-03-19T11:07:00Z</cp:lastPrinted>
  <dcterms:created xsi:type="dcterms:W3CDTF">2020-06-23T09:05:00Z</dcterms:created>
  <dcterms:modified xsi:type="dcterms:W3CDTF">2020-11-13T08:53:00Z</dcterms:modified>
</cp:coreProperties>
</file>